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kern w:val="0"/>
          <w:sz w:val="36"/>
          <w:szCs w:val="40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40"/>
        </w:rPr>
        <w:t>南京</w:t>
      </w:r>
      <w:r>
        <w:rPr>
          <w:rFonts w:hint="eastAsia" w:ascii="黑体" w:hAnsi="黑体" w:eastAsia="黑体" w:cs="宋体"/>
          <w:kern w:val="0"/>
          <w:sz w:val="36"/>
          <w:szCs w:val="40"/>
          <w:lang w:val="en-US" w:eastAsia="zh-CN"/>
        </w:rPr>
        <w:t>市开放与远程教育研究课题申报汇总表</w:t>
      </w:r>
      <w:bookmarkStart w:id="0" w:name="_GoBack"/>
      <w:bookmarkEnd w:id="0"/>
    </w:p>
    <w:p>
      <w:pPr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填报单位（部门）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Cs w:val="21"/>
        </w:rPr>
        <w:t xml:space="preserve">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               单位（部门）</w:t>
      </w:r>
      <w:r>
        <w:rPr>
          <w:rFonts w:hint="eastAsia" w:cs="宋体" w:asciiTheme="minorEastAsia" w:hAnsiTheme="minorEastAsia"/>
          <w:kern w:val="0"/>
          <w:szCs w:val="21"/>
        </w:rPr>
        <w:t xml:space="preserve">领导签字：（公章）         </w:t>
      </w:r>
    </w:p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填表人：  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              </w:t>
      </w:r>
      <w:r>
        <w:rPr>
          <w:rFonts w:hint="eastAsia" w:cs="宋体" w:asciiTheme="minorEastAsia" w:hAnsiTheme="minorEastAsia"/>
          <w:kern w:val="0"/>
          <w:szCs w:val="21"/>
        </w:rPr>
        <w:t xml:space="preserve">   联系电话：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                       </w:t>
      </w:r>
      <w:r>
        <w:rPr>
          <w:rFonts w:hint="eastAsia" w:cs="宋体" w:asciiTheme="minorEastAsia" w:hAnsiTheme="minorEastAsia"/>
          <w:kern w:val="0"/>
          <w:szCs w:val="21"/>
        </w:rPr>
        <w:t>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12"/>
        <w:gridCol w:w="1075"/>
        <w:gridCol w:w="1750"/>
        <w:gridCol w:w="4325"/>
        <w:gridCol w:w="1313"/>
        <w:gridCol w:w="1550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项目负责人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职称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单位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（部门）</w:t>
            </w:r>
          </w:p>
        </w:tc>
        <w:tc>
          <w:tcPr>
            <w:tcW w:w="432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项目名称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申报等级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计划完成时间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  <w:docVar w:name="KSO_WPS_MARK_KEY" w:val="77b6220c-a190-40a1-b24a-91205f9ca71b"/>
  </w:docVars>
  <w:rsids>
    <w:rsidRoot w:val="00000000"/>
    <w:rsid w:val="166E7112"/>
    <w:rsid w:val="180C6BE2"/>
    <w:rsid w:val="19524AC9"/>
    <w:rsid w:val="1C3D380E"/>
    <w:rsid w:val="1C8B0EF0"/>
    <w:rsid w:val="206E710A"/>
    <w:rsid w:val="21AD4F92"/>
    <w:rsid w:val="23647715"/>
    <w:rsid w:val="26CC5EBA"/>
    <w:rsid w:val="37294C63"/>
    <w:rsid w:val="56723AD9"/>
    <w:rsid w:val="578C0BCA"/>
    <w:rsid w:val="57E427B4"/>
    <w:rsid w:val="680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3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2024-09-10T07:58:00Z</dcterms:created>
  <dc:creator>Huawei</dc:creator>
  <cp:lastModifiedBy>姚登旺(2022011)</cp:lastModifiedBy>
  <dcterms:modified xsi:type="dcterms:W3CDTF">2024-09-25T01:15:28Z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1E347057BC5B48E1A30FD41BFAB7CD81</vt:lpwstr>
  </property>
</Properties>
</file>